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4A" w:rsidRDefault="003C717A" w:rsidP="005F2C4A">
      <w:pPr>
        <w:spacing w:before="1440" w:after="240"/>
        <w:jc w:val="center"/>
      </w:pPr>
      <w:bookmarkStart w:id="0" w:name="_GoBack"/>
      <w:bookmarkEnd w:id="0"/>
      <w:r w:rsidRPr="00555F99">
        <w:t>FAILURE TO SUBMIT FIVE-DAY REPORT OF EMERGENCY USE</w:t>
      </w:r>
    </w:p>
    <w:p w:rsidR="00B0602E" w:rsidRPr="00555F99" w:rsidRDefault="00B85641" w:rsidP="00B0602E">
      <w:r>
        <w:rPr>
          <w:noProof/>
        </w:rPr>
        <w:t>June 10, 2012</w:t>
      </w:r>
    </w:p>
    <w:p w:rsidR="000A493A" w:rsidRPr="00555F99" w:rsidRDefault="000A493A">
      <w:pPr>
        <w:sectPr w:rsidR="000A493A" w:rsidRPr="00555F99">
          <w:footerReference w:type="default" r:id="rId8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496191" w:rsidRPr="00555F99" w:rsidRDefault="00496191"/>
    <w:p w:rsidR="00B0602E" w:rsidRPr="00555F99" w:rsidRDefault="00931357" w:rsidP="00B0602E">
      <w:pPr>
        <w:rPr>
          <w:i/>
        </w:rPr>
      </w:pPr>
      <w:r w:rsidRPr="00555F99">
        <w:rPr>
          <w:i/>
        </w:rPr>
        <w:t>&lt;Name of Principal Investigator&gt;</w:t>
      </w:r>
    </w:p>
    <w:p w:rsidR="00931357" w:rsidRPr="00555F99" w:rsidRDefault="00931357" w:rsidP="00B0602E">
      <w:pPr>
        <w:rPr>
          <w:i/>
        </w:rPr>
      </w:pPr>
      <w:r w:rsidRPr="00555F99">
        <w:rPr>
          <w:i/>
        </w:rPr>
        <w:t>&lt;Address of Principal Investigator&gt;</w:t>
      </w:r>
    </w:p>
    <w:p w:rsidR="00931357" w:rsidRPr="00555F99" w:rsidRDefault="00931357" w:rsidP="00931357">
      <w:pPr>
        <w:rPr>
          <w:i/>
        </w:rPr>
      </w:pPr>
      <w:r w:rsidRPr="00555F99">
        <w:rPr>
          <w:i/>
        </w:rPr>
        <w:t>&lt;Phone Number of Principal Investigator&gt;</w:t>
      </w:r>
    </w:p>
    <w:p w:rsidR="00931357" w:rsidRPr="00555F99" w:rsidRDefault="00931357" w:rsidP="00931357">
      <w:pPr>
        <w:rPr>
          <w:i/>
        </w:rPr>
      </w:pPr>
      <w:r w:rsidRPr="00555F99">
        <w:rPr>
          <w:i/>
        </w:rPr>
        <w:t>&lt;Fax Number of Principal Investigator&gt;</w:t>
      </w:r>
    </w:p>
    <w:p w:rsidR="005F2C4A" w:rsidRDefault="00931357" w:rsidP="005F2C4A">
      <w:pPr>
        <w:spacing w:after="240"/>
        <w:rPr>
          <w:i/>
        </w:rPr>
      </w:pPr>
      <w:r w:rsidRPr="00555F99">
        <w:rPr>
          <w:i/>
        </w:rPr>
        <w:t>&lt;</w:t>
      </w:r>
      <w:r w:rsidR="0008798F" w:rsidRPr="00555F99">
        <w:rPr>
          <w:i/>
        </w:rPr>
        <w:t>Email Address</w:t>
      </w:r>
      <w:r w:rsidRPr="00555F99">
        <w:rPr>
          <w:i/>
        </w:rPr>
        <w:t xml:space="preserve"> of Principal Investigator&gt;</w:t>
      </w:r>
    </w:p>
    <w:p w:rsidR="005F2C4A" w:rsidRDefault="00DC5431" w:rsidP="005F2C4A">
      <w:pPr>
        <w:spacing w:after="240"/>
      </w:pPr>
      <w:r w:rsidRPr="00555F99">
        <w:t xml:space="preserve">Dear </w:t>
      </w:r>
      <w:r w:rsidR="00931357" w:rsidRPr="00555F99">
        <w:rPr>
          <w:i/>
        </w:rPr>
        <w:t>&lt;Hailing of Principal Investigator&gt;</w:t>
      </w:r>
      <w:r w:rsidRPr="00555F99">
        <w:t>:</w:t>
      </w:r>
    </w:p>
    <w:p w:rsidR="00931357" w:rsidRPr="00555F99" w:rsidRDefault="00195BC2" w:rsidP="005F2C4A">
      <w:pPr>
        <w:spacing w:after="240"/>
      </w:pPr>
      <w:r w:rsidRPr="00555F99">
        <w:t>Federal regulations require investigators to submit to the IRB within five days written notification of the emergency use of a test article in a life-threatening situation. We have not received this information for the following protocol: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570"/>
      </w:tblGrid>
      <w:tr w:rsidR="004538EA" w:rsidRPr="00555F99" w:rsidTr="00DF2C38">
        <w:tc>
          <w:tcPr>
            <w:tcW w:w="1980" w:type="dxa"/>
          </w:tcPr>
          <w:p w:rsidR="004538EA" w:rsidRPr="00555F99" w:rsidRDefault="00575D7B" w:rsidP="00CD2DE6">
            <w:pPr>
              <w:keepNext/>
              <w:jc w:val="right"/>
            </w:pPr>
            <w:r>
              <w:t>Title:</w:t>
            </w:r>
          </w:p>
        </w:tc>
        <w:tc>
          <w:tcPr>
            <w:tcW w:w="5570" w:type="dxa"/>
          </w:tcPr>
          <w:p w:rsidR="004538EA" w:rsidRPr="00555F99" w:rsidRDefault="004538EA" w:rsidP="00CD2DE6">
            <w:pPr>
              <w:keepNext/>
            </w:pPr>
          </w:p>
        </w:tc>
      </w:tr>
      <w:tr w:rsidR="004538EA" w:rsidRPr="00555F99" w:rsidTr="00DF2C38">
        <w:tc>
          <w:tcPr>
            <w:tcW w:w="1980" w:type="dxa"/>
          </w:tcPr>
          <w:p w:rsidR="004538EA" w:rsidRPr="00555F99" w:rsidRDefault="004538EA" w:rsidP="00CD2DE6">
            <w:pPr>
              <w:keepNext/>
              <w:jc w:val="right"/>
            </w:pPr>
            <w:r w:rsidRPr="00555F99">
              <w:t>Investigator:</w:t>
            </w:r>
          </w:p>
        </w:tc>
        <w:tc>
          <w:tcPr>
            <w:tcW w:w="5570" w:type="dxa"/>
          </w:tcPr>
          <w:p w:rsidR="004538EA" w:rsidRPr="00555F99" w:rsidRDefault="004538EA" w:rsidP="00CD2DE6">
            <w:pPr>
              <w:keepNext/>
            </w:pPr>
          </w:p>
        </w:tc>
      </w:tr>
      <w:tr w:rsidR="004538EA" w:rsidRPr="00555F99" w:rsidTr="00DF2C38">
        <w:tc>
          <w:tcPr>
            <w:tcW w:w="1980" w:type="dxa"/>
          </w:tcPr>
          <w:p w:rsidR="004538EA" w:rsidRPr="00555F99" w:rsidRDefault="004538EA" w:rsidP="00CD2DE6">
            <w:pPr>
              <w:keepNext/>
              <w:jc w:val="right"/>
            </w:pPr>
            <w:r w:rsidRPr="00555F99">
              <w:t>IRB ID:</w:t>
            </w:r>
          </w:p>
        </w:tc>
        <w:tc>
          <w:tcPr>
            <w:tcW w:w="5570" w:type="dxa"/>
          </w:tcPr>
          <w:p w:rsidR="004538EA" w:rsidRPr="00555F99" w:rsidRDefault="003657F0" w:rsidP="00CD2DE6">
            <w:pPr>
              <w:keepNext/>
            </w:pPr>
            <w:r w:rsidRPr="00555F99">
              <w:t>None</w:t>
            </w:r>
          </w:p>
        </w:tc>
      </w:tr>
      <w:tr w:rsidR="004538EA" w:rsidRPr="00555F99" w:rsidTr="00DF2C38">
        <w:tc>
          <w:tcPr>
            <w:tcW w:w="1980" w:type="dxa"/>
          </w:tcPr>
          <w:p w:rsidR="004538EA" w:rsidRPr="00555F99" w:rsidRDefault="00577CED" w:rsidP="00CD2DE6">
            <w:pPr>
              <w:keepNext/>
              <w:jc w:val="right"/>
            </w:pPr>
            <w:r>
              <w:t>Funding:</w:t>
            </w:r>
          </w:p>
        </w:tc>
        <w:tc>
          <w:tcPr>
            <w:tcW w:w="5570" w:type="dxa"/>
          </w:tcPr>
          <w:p w:rsidR="004538EA" w:rsidRPr="00555F99" w:rsidRDefault="003657F0" w:rsidP="00CD2DE6">
            <w:pPr>
              <w:keepNext/>
            </w:pPr>
            <w:r w:rsidRPr="00555F99">
              <w:t>None</w:t>
            </w:r>
          </w:p>
        </w:tc>
      </w:tr>
      <w:tr w:rsidR="004538EA" w:rsidRPr="00555F99" w:rsidTr="00DF2C38">
        <w:tc>
          <w:tcPr>
            <w:tcW w:w="1980" w:type="dxa"/>
          </w:tcPr>
          <w:p w:rsidR="004538EA" w:rsidRPr="00555F99" w:rsidRDefault="004538EA" w:rsidP="00CD2DE6">
            <w:pPr>
              <w:keepNext/>
              <w:jc w:val="right"/>
            </w:pPr>
            <w:r w:rsidRPr="00555F99">
              <w:t>Grant Title:</w:t>
            </w:r>
          </w:p>
        </w:tc>
        <w:tc>
          <w:tcPr>
            <w:tcW w:w="5570" w:type="dxa"/>
          </w:tcPr>
          <w:p w:rsidR="004538EA" w:rsidRPr="00555F99" w:rsidRDefault="003657F0" w:rsidP="00CD2DE6">
            <w:pPr>
              <w:keepNext/>
            </w:pPr>
            <w:r w:rsidRPr="00555F99">
              <w:t>None</w:t>
            </w:r>
          </w:p>
        </w:tc>
      </w:tr>
      <w:tr w:rsidR="004538EA" w:rsidRPr="00555F99" w:rsidTr="00DF2C38">
        <w:tc>
          <w:tcPr>
            <w:tcW w:w="1980" w:type="dxa"/>
          </w:tcPr>
          <w:p w:rsidR="004538EA" w:rsidRPr="00555F99" w:rsidRDefault="004538EA" w:rsidP="00CD2DE6">
            <w:pPr>
              <w:keepNext/>
              <w:jc w:val="right"/>
            </w:pPr>
            <w:r w:rsidRPr="00555F99">
              <w:t>Grant ID:</w:t>
            </w:r>
          </w:p>
        </w:tc>
        <w:tc>
          <w:tcPr>
            <w:tcW w:w="5570" w:type="dxa"/>
          </w:tcPr>
          <w:p w:rsidR="004538EA" w:rsidRPr="00555F99" w:rsidRDefault="003657F0" w:rsidP="00CD2DE6">
            <w:pPr>
              <w:keepNext/>
            </w:pPr>
            <w:r w:rsidRPr="00555F99">
              <w:t>None</w:t>
            </w:r>
          </w:p>
        </w:tc>
      </w:tr>
      <w:tr w:rsidR="004538EA" w:rsidRPr="00555F99" w:rsidTr="00DF2C38">
        <w:tc>
          <w:tcPr>
            <w:tcW w:w="1980" w:type="dxa"/>
          </w:tcPr>
          <w:p w:rsidR="004538EA" w:rsidRPr="00555F99" w:rsidRDefault="004538EA" w:rsidP="00CD2DE6">
            <w:pPr>
              <w:jc w:val="right"/>
            </w:pPr>
            <w:smartTag w:uri="urn:schemas-microsoft-com:office:smarttags" w:element="PostalCode">
              <w:smartTag w:uri="urn:schemas-microsoft-com:office:smarttags" w:element="State">
                <w:r w:rsidRPr="00555F99">
                  <w:t>IND</w:t>
                </w:r>
              </w:smartTag>
            </w:smartTag>
            <w:r w:rsidRPr="00555F99">
              <w:t xml:space="preserve"> or IDE:</w:t>
            </w:r>
          </w:p>
        </w:tc>
        <w:tc>
          <w:tcPr>
            <w:tcW w:w="5570" w:type="dxa"/>
          </w:tcPr>
          <w:p w:rsidR="004538EA" w:rsidRPr="00555F99" w:rsidRDefault="003657F0" w:rsidP="00CD2DE6">
            <w:pPr>
              <w:keepNext/>
            </w:pPr>
            <w:r w:rsidRPr="00555F99">
              <w:t>None</w:t>
            </w:r>
          </w:p>
        </w:tc>
      </w:tr>
    </w:tbl>
    <w:p w:rsidR="00DF2C38" w:rsidRDefault="00195BC2" w:rsidP="00DF2C38">
      <w:pPr>
        <w:spacing w:before="240" w:after="240"/>
      </w:pPr>
      <w:r w:rsidRPr="00555F99">
        <w:t>As of this date you will not be able to submit new research to the IRB until this information has been submitted.</w:t>
      </w:r>
    </w:p>
    <w:p w:rsidR="005F2C4A" w:rsidRDefault="00D53F11" w:rsidP="005F2C4A">
      <w:pPr>
        <w:spacing w:after="720"/>
      </w:pPr>
      <w:r w:rsidRPr="00555F99">
        <w:t>Sincerely,</w:t>
      </w:r>
    </w:p>
    <w:p w:rsidR="005F2C4A" w:rsidRDefault="00D53F11" w:rsidP="005F2C4A">
      <w:pPr>
        <w:spacing w:after="240"/>
      </w:pPr>
      <w:r w:rsidRPr="00555F99">
        <w:t>IRB Manager</w:t>
      </w:r>
    </w:p>
    <w:p w:rsidR="00120DD2" w:rsidRPr="00555F99" w:rsidRDefault="00D53F11" w:rsidP="00120DD2">
      <w:pPr>
        <w:ind w:left="720" w:hanging="720"/>
        <w:rPr>
          <w:i/>
        </w:rPr>
      </w:pPr>
      <w:r w:rsidRPr="00555F99">
        <w:t>cc:</w:t>
      </w:r>
      <w:r w:rsidRPr="00555F99">
        <w:tab/>
      </w:r>
      <w:r w:rsidR="00120DD2" w:rsidRPr="00555F99">
        <w:rPr>
          <w:i/>
        </w:rPr>
        <w:t>&lt;Protocol Contact&gt;</w:t>
      </w:r>
    </w:p>
    <w:p w:rsidR="003657F0" w:rsidRPr="00555F99" w:rsidRDefault="003657F0" w:rsidP="005F2C4A">
      <w:pPr>
        <w:spacing w:after="240"/>
        <w:ind w:left="1440" w:hanging="720"/>
      </w:pPr>
      <w:r w:rsidRPr="00555F99">
        <w:rPr>
          <w:i/>
        </w:rPr>
        <w:t>&lt;Chairman or Supervisor of the Principal Investigator&gt;</w:t>
      </w:r>
    </w:p>
    <w:sectPr w:rsidR="003657F0" w:rsidRPr="00555F99" w:rsidSect="000A493A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6D4" w:rsidRDefault="00CE06D4">
      <w:r>
        <w:separator/>
      </w:r>
    </w:p>
  </w:endnote>
  <w:endnote w:type="continuationSeparator" w:id="0">
    <w:p w:rsidR="00CE06D4" w:rsidRDefault="00CE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C42" w:rsidRDefault="00E96C42">
    <w:pPr>
      <w:pStyle w:val="Footer"/>
    </w:pPr>
    <w:r>
      <w:tab/>
    </w:r>
    <w:r w:rsidR="003570A9"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614F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614F7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  <w:sz w:val="16"/>
        <w:szCs w:val="16"/>
      </w:rPr>
      <w:tab/>
      <w:t xml:space="preserve">Template Revision: </w:t>
    </w:r>
    <w:r w:rsidR="00583436">
      <w:rPr>
        <w:rStyle w:val="PageNumber"/>
        <w:noProof/>
        <w:sz w:val="16"/>
        <w:szCs w:val="16"/>
      </w:rPr>
      <w:t>March 25,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C2" w:rsidRDefault="00195BC2">
    <w:pPr>
      <w:pStyle w:val="Footer"/>
    </w:pP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SAVEDATE  \@ "MMMM d, yyyy"  \* MERGEFORMAT </w:instrText>
    </w:r>
    <w:r>
      <w:rPr>
        <w:rStyle w:val="PageNumber"/>
      </w:rPr>
      <w:fldChar w:fldCharType="separate"/>
    </w:r>
    <w:r w:rsidR="00D614F7">
      <w:rPr>
        <w:rStyle w:val="PageNumber"/>
        <w:noProof/>
      </w:rPr>
      <w:t>March 25, 2014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6D4" w:rsidRDefault="00CE06D4">
      <w:r>
        <w:separator/>
      </w:r>
    </w:p>
  </w:footnote>
  <w:footnote w:type="continuationSeparator" w:id="0">
    <w:p w:rsidR="00CE06D4" w:rsidRDefault="00CE06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4E05C1"/>
    <w:multiLevelType w:val="hybridMultilevel"/>
    <w:tmpl w:val="CD745830"/>
    <w:lvl w:ilvl="0" w:tplc="333879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4DCE26D2"/>
    <w:multiLevelType w:val="hybridMultilevel"/>
    <w:tmpl w:val="F5A099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9524044"/>
    <w:multiLevelType w:val="hybridMultilevel"/>
    <w:tmpl w:val="6D8E6DB6"/>
    <w:lvl w:ilvl="0" w:tplc="333879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B2D"/>
    <w:rsid w:val="00007500"/>
    <w:rsid w:val="000076AA"/>
    <w:rsid w:val="000457A6"/>
    <w:rsid w:val="00052FA9"/>
    <w:rsid w:val="00070B6B"/>
    <w:rsid w:val="0008798F"/>
    <w:rsid w:val="00087D2E"/>
    <w:rsid w:val="00094621"/>
    <w:rsid w:val="00094711"/>
    <w:rsid w:val="000A493A"/>
    <w:rsid w:val="000B3A4E"/>
    <w:rsid w:val="000B4E30"/>
    <w:rsid w:val="000B69A5"/>
    <w:rsid w:val="000B76EE"/>
    <w:rsid w:val="000D7F3F"/>
    <w:rsid w:val="000F523A"/>
    <w:rsid w:val="00120DD2"/>
    <w:rsid w:val="00130861"/>
    <w:rsid w:val="00167C53"/>
    <w:rsid w:val="00170F9C"/>
    <w:rsid w:val="00180C4D"/>
    <w:rsid w:val="00195BC2"/>
    <w:rsid w:val="001A7279"/>
    <w:rsid w:val="001B56EF"/>
    <w:rsid w:val="001D4979"/>
    <w:rsid w:val="001F581F"/>
    <w:rsid w:val="00240B51"/>
    <w:rsid w:val="00245E89"/>
    <w:rsid w:val="002635C9"/>
    <w:rsid w:val="003178F0"/>
    <w:rsid w:val="003570A9"/>
    <w:rsid w:val="003657F0"/>
    <w:rsid w:val="003C717A"/>
    <w:rsid w:val="00413FD0"/>
    <w:rsid w:val="0045208E"/>
    <w:rsid w:val="004538EA"/>
    <w:rsid w:val="004578BE"/>
    <w:rsid w:val="00496191"/>
    <w:rsid w:val="00555F99"/>
    <w:rsid w:val="00575D7B"/>
    <w:rsid w:val="00577CED"/>
    <w:rsid w:val="00583436"/>
    <w:rsid w:val="00583E49"/>
    <w:rsid w:val="005A19AA"/>
    <w:rsid w:val="005B69DA"/>
    <w:rsid w:val="005E08E7"/>
    <w:rsid w:val="005E204C"/>
    <w:rsid w:val="005F2C4A"/>
    <w:rsid w:val="00601E8C"/>
    <w:rsid w:val="00604B4C"/>
    <w:rsid w:val="00636A2C"/>
    <w:rsid w:val="00644336"/>
    <w:rsid w:val="00647148"/>
    <w:rsid w:val="006A771F"/>
    <w:rsid w:val="006F29CD"/>
    <w:rsid w:val="00727E8B"/>
    <w:rsid w:val="00745971"/>
    <w:rsid w:val="007C3C46"/>
    <w:rsid w:val="007E46F3"/>
    <w:rsid w:val="007E786A"/>
    <w:rsid w:val="008401E0"/>
    <w:rsid w:val="00883F16"/>
    <w:rsid w:val="00886C10"/>
    <w:rsid w:val="00892871"/>
    <w:rsid w:val="008A0B2E"/>
    <w:rsid w:val="008B32D4"/>
    <w:rsid w:val="008D3171"/>
    <w:rsid w:val="00931357"/>
    <w:rsid w:val="009321B5"/>
    <w:rsid w:val="00956FDB"/>
    <w:rsid w:val="009C0D90"/>
    <w:rsid w:val="009F7475"/>
    <w:rsid w:val="00A14A30"/>
    <w:rsid w:val="00A203E7"/>
    <w:rsid w:val="00A25A1F"/>
    <w:rsid w:val="00A37F35"/>
    <w:rsid w:val="00A61B2D"/>
    <w:rsid w:val="00AB2E4A"/>
    <w:rsid w:val="00AC1D5F"/>
    <w:rsid w:val="00AC3A42"/>
    <w:rsid w:val="00AD4E97"/>
    <w:rsid w:val="00B0602E"/>
    <w:rsid w:val="00B1343C"/>
    <w:rsid w:val="00B165C4"/>
    <w:rsid w:val="00B243C5"/>
    <w:rsid w:val="00B72741"/>
    <w:rsid w:val="00B81BB6"/>
    <w:rsid w:val="00B85641"/>
    <w:rsid w:val="00BA285A"/>
    <w:rsid w:val="00BB520E"/>
    <w:rsid w:val="00BC29EA"/>
    <w:rsid w:val="00BE0052"/>
    <w:rsid w:val="00C25824"/>
    <w:rsid w:val="00C512B7"/>
    <w:rsid w:val="00C541AB"/>
    <w:rsid w:val="00C676E2"/>
    <w:rsid w:val="00C91CC3"/>
    <w:rsid w:val="00C92A57"/>
    <w:rsid w:val="00CD02D6"/>
    <w:rsid w:val="00CD2DE6"/>
    <w:rsid w:val="00CD3654"/>
    <w:rsid w:val="00CE06D4"/>
    <w:rsid w:val="00CF1B62"/>
    <w:rsid w:val="00CF4FF5"/>
    <w:rsid w:val="00D24765"/>
    <w:rsid w:val="00D53F11"/>
    <w:rsid w:val="00D614F7"/>
    <w:rsid w:val="00D61E8B"/>
    <w:rsid w:val="00DC5431"/>
    <w:rsid w:val="00DF04FF"/>
    <w:rsid w:val="00DF2925"/>
    <w:rsid w:val="00DF2C38"/>
    <w:rsid w:val="00DF763E"/>
    <w:rsid w:val="00E64BD7"/>
    <w:rsid w:val="00E96C42"/>
    <w:rsid w:val="00EA5686"/>
    <w:rsid w:val="00EA70D3"/>
    <w:rsid w:val="00EB692F"/>
    <w:rsid w:val="00EF2BAC"/>
    <w:rsid w:val="00F0461F"/>
    <w:rsid w:val="00F1327F"/>
    <w:rsid w:val="00F74D01"/>
    <w:rsid w:val="00F846FB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883F16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AD4E97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E96C42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49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D49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D4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601E8C"/>
    <w:rPr>
      <w:sz w:val="20"/>
      <w:szCs w:val="20"/>
    </w:rPr>
  </w:style>
  <w:style w:type="character" w:styleId="FootnoteReference">
    <w:name w:val="footnote reference"/>
    <w:semiHidden/>
    <w:rsid w:val="00601E8C"/>
    <w:rPr>
      <w:vertAlign w:val="superscript"/>
    </w:rPr>
  </w:style>
  <w:style w:type="character" w:styleId="Hyperlink">
    <w:name w:val="Hyperlink"/>
    <w:rsid w:val="00B0602E"/>
    <w:rPr>
      <w:color w:val="0000FF"/>
      <w:u w:val="single"/>
    </w:rPr>
  </w:style>
  <w:style w:type="character" w:styleId="PageNumber">
    <w:name w:val="page number"/>
    <w:basedOn w:val="DefaultParagraphFont"/>
    <w:rsid w:val="00DF763E"/>
  </w:style>
  <w:style w:type="paragraph" w:customStyle="1" w:styleId="ChecklistFooter">
    <w:name w:val="Checklist Footer"/>
    <w:basedOn w:val="Normal"/>
    <w:rsid w:val="00883F16"/>
    <w:pPr>
      <w:jc w:val="center"/>
    </w:pPr>
    <w:rPr>
      <w:rFonts w:ascii="Arial Narrow" w:hAnsi="Arial Narrow"/>
      <w:sz w:val="18"/>
    </w:rPr>
  </w:style>
  <w:style w:type="paragraph" w:customStyle="1" w:styleId="SOPFooter">
    <w:name w:val="SOP Footer"/>
    <w:basedOn w:val="Normal"/>
    <w:rsid w:val="00AD4E97"/>
    <w:pPr>
      <w:jc w:val="center"/>
    </w:pPr>
    <w:rPr>
      <w:rFonts w:ascii="Arial" w:hAnsi="Arial" w:cs="Tahoma"/>
      <w:sz w:val="18"/>
      <w:szCs w:val="20"/>
    </w:rPr>
  </w:style>
  <w:style w:type="character" w:customStyle="1" w:styleId="FooterChar">
    <w:name w:val="Footer Char"/>
    <w:link w:val="Footer"/>
    <w:locked/>
    <w:rsid w:val="00E96C42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LETTER: Failure to Submit Five-Day Emergency Use Report</vt:lpstr>
    </vt:vector>
  </TitlesOfParts>
  <Manager>Huron Consulting Group, Inc.</Manager>
  <Company>Huron Consulting Group, Inc.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LETTER: Failure to Submit Five-Day Emergency Use Report</dc:title>
  <dc:subject>Huron HRPP ToolKit 2.0</dc:subject>
  <dc:creator>Huron Consulting Group, Inc.</dc:creator>
  <cp:keywords>Huron, HRPP, SOP</cp:keywords>
  <dc:description>©2009-2014 Huron Consulting Services, LLC. Use and distribution subject to End User License Agreement at http://www.huronconsultinggroup.com/SOP</dc:description>
  <cp:lastModifiedBy>Frank Conte</cp:lastModifiedBy>
  <cp:revision>2</cp:revision>
  <cp:lastPrinted>2013-10-24T19:04:00Z</cp:lastPrinted>
  <dcterms:created xsi:type="dcterms:W3CDTF">2014-06-10T13:20:00Z</dcterms:created>
  <dcterms:modified xsi:type="dcterms:W3CDTF">2014-06-10T13:20:00Z</dcterms:modified>
  <cp:category>TEMPLATE LETTER</cp:category>
</cp:coreProperties>
</file>